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NeoDen w ofercie Grupy RENEX - oficjalna dystrybucja w Polsce i na Bałkanach</w:t>
      </w:r>
    </w:p>
    <w:p>
      <w:pPr>
        <w:spacing w:before="0" w:after="500" w:line="264" w:lineRule="auto"/>
      </w:pPr>
      <w:r>
        <w:rPr>
          <w:rFonts w:ascii="calibri" w:hAnsi="calibri" w:eastAsia="calibri" w:cs="calibri"/>
          <w:sz w:val="36"/>
          <w:szCs w:val="36"/>
          <w:b/>
        </w:rPr>
        <w:t xml:space="preserve">NeoDen to producent kompaktowych urządzeń przeznaczonych do montażu powierzchniowego elektroniki. Rozwijający rozwiązania adresowane do przedsiębiorstw realizujących prototypy, małe i średnie serie produkcyjne oraz projekty badawczo-rozwojowe. Urządzenia NeoDen projektowane są z myślą o stabilności procesu i prostocie obsługi. Umożliwiają one stopniową rozbudowę stanowiska montażowego wraz ze wzrostem skali produkcji.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producenta obejmuje urządzenia, które mogą zostać połączone w spójny, funkcjonalny ciąg technologiczny, umożliwiający realizację kluczowych etapów montażu PCB w ramach jednej, kompaktowej linii produkcyjnej. Takie rozwiązanie </w:t>
      </w:r>
      <w:r>
        <w:rPr>
          <w:rFonts w:ascii="calibri" w:hAnsi="calibri" w:eastAsia="calibri" w:cs="calibri"/>
          <w:sz w:val="24"/>
          <w:szCs w:val="24"/>
        </w:rPr>
        <w:t xml:space="preserve">sprzyja</w:t>
      </w:r>
      <w:r>
        <w:rPr>
          <w:rFonts w:ascii="calibri" w:hAnsi="calibri" w:eastAsia="calibri" w:cs="calibri"/>
          <w:sz w:val="24"/>
          <w:szCs w:val="24"/>
        </w:rPr>
        <w:t xml:space="preserve"> uporządkowani</w:t>
      </w:r>
      <w:r>
        <w:rPr>
          <w:rFonts w:ascii="calibri" w:hAnsi="calibri" w:eastAsia="calibri" w:cs="calibri"/>
          <w:sz w:val="24"/>
          <w:szCs w:val="24"/>
        </w:rPr>
        <w:t xml:space="preserve">u</w:t>
      </w:r>
      <w:r>
        <w:rPr>
          <w:rFonts w:ascii="calibri" w:hAnsi="calibri" w:eastAsia="calibri" w:cs="calibri"/>
          <w:sz w:val="24"/>
          <w:szCs w:val="24"/>
        </w:rPr>
        <w:t xml:space="preserve"> procesu, zwiększeni</w:t>
      </w:r>
      <w:r>
        <w:rPr>
          <w:rFonts w:ascii="calibri" w:hAnsi="calibri" w:eastAsia="calibri" w:cs="calibri"/>
          <w:sz w:val="24"/>
          <w:szCs w:val="24"/>
        </w:rPr>
        <w:t xml:space="preserve">u</w:t>
      </w:r>
      <w:r>
        <w:rPr>
          <w:rFonts w:ascii="calibri" w:hAnsi="calibri" w:eastAsia="calibri" w:cs="calibri"/>
          <w:sz w:val="24"/>
          <w:szCs w:val="24"/>
        </w:rPr>
        <w:t xml:space="preserve"> powtarzalności oraz optymalne</w:t>
      </w:r>
      <w:r>
        <w:rPr>
          <w:rFonts w:ascii="calibri" w:hAnsi="calibri" w:eastAsia="calibri" w:cs="calibri"/>
          <w:sz w:val="24"/>
          <w:szCs w:val="24"/>
        </w:rPr>
        <w:t xml:space="preserve">mu</w:t>
      </w:r>
      <w:r>
        <w:rPr>
          <w:rFonts w:ascii="calibri" w:hAnsi="calibri" w:eastAsia="calibri" w:cs="calibri"/>
          <w:sz w:val="24"/>
          <w:szCs w:val="24"/>
        </w:rPr>
        <w:t xml:space="preserve"> wykorzystani</w:t>
      </w:r>
      <w:r>
        <w:rPr>
          <w:rFonts w:ascii="calibri" w:hAnsi="calibri" w:eastAsia="calibri" w:cs="calibri"/>
          <w:sz w:val="24"/>
          <w:szCs w:val="24"/>
        </w:rPr>
        <w:t xml:space="preserve">u </w:t>
      </w:r>
      <w:r>
        <w:rPr>
          <w:rFonts w:ascii="calibri" w:hAnsi="calibri" w:eastAsia="calibri" w:cs="calibri"/>
          <w:sz w:val="24"/>
          <w:szCs w:val="24"/>
        </w:rPr>
        <w:t xml:space="preserve">dostępnej przestrzeni roboczej.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w:t>
      </w:r>
      <w:r>
        <w:rPr>
          <w:rFonts w:ascii="calibri" w:hAnsi="calibri" w:eastAsia="calibri" w:cs="calibri"/>
          <w:sz w:val="24"/>
          <w:szCs w:val="24"/>
        </w:rPr>
        <w:t xml:space="preserve"> </w:t>
      </w:r>
      <w:r>
        <w:rPr>
          <w:rFonts w:ascii="calibri" w:hAnsi="calibri" w:eastAsia="calibri" w:cs="calibri"/>
          <w:sz w:val="24"/>
          <w:szCs w:val="24"/>
          <w:b/>
        </w:rPr>
        <w:t xml:space="preserve">Grupy RENEX</w:t>
      </w:r>
      <w:r>
        <w:rPr>
          <w:rFonts w:ascii="calibri" w:hAnsi="calibri" w:eastAsia="calibri" w:cs="calibri"/>
          <w:sz w:val="24"/>
          <w:szCs w:val="24"/>
        </w:rPr>
        <w:t xml:space="preserve"> </w:t>
      </w:r>
      <w:r>
        <w:rPr>
          <w:rFonts w:ascii="calibri" w:hAnsi="calibri" w:eastAsia="calibri" w:cs="calibri"/>
          <w:sz w:val="24"/>
          <w:szCs w:val="24"/>
        </w:rPr>
        <w:t xml:space="preserve">dostępna jest kompletna linia montażowa oparta na urządzeniach</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składająca się z następujących elementów:</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Ręczna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drukarka szablonowa</w:t>
        </w:r>
      </w:hyperlink>
      <w:r>
        <w:rPr>
          <w:rFonts w:ascii="calibri" w:hAnsi="calibri" w:eastAsia="calibri" w:cs="calibri"/>
          <w:sz w:val="24"/>
          <w:szCs w:val="24"/>
        </w:rPr>
        <w:t xml:space="preserve"> </w:t>
      </w:r>
      <w:r>
        <w:rPr>
          <w:rFonts w:ascii="calibri" w:hAnsi="calibri" w:eastAsia="calibri" w:cs="calibri"/>
          <w:sz w:val="24"/>
          <w:szCs w:val="24"/>
        </w:rPr>
        <w:t xml:space="preserve">NEODEN FP2636</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wykorzystywana do precyzyjnego nanoszenia pasty lutowniczej na płytki PCB, stanowiąca pierwszy etap procesu montażu.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Urządzenie</w:t>
      </w:r>
      <w:r>
        <w:rPr>
          <w:rFonts w:ascii="calibri" w:hAnsi="calibri" w:eastAsia="calibri" w:cs="calibri"/>
          <w:sz w:val="24"/>
          <w:szCs w:val="24"/>
        </w:rPr>
        <w:t xml:space="preserve"> </w:t>
      </w:r>
      <w:r>
        <w:rPr>
          <w:rFonts w:ascii="calibri" w:hAnsi="calibri" w:eastAsia="calibri" w:cs="calibri"/>
          <w:sz w:val="24"/>
          <w:szCs w:val="24"/>
        </w:rPr>
        <w:t xml:space="preserve">pick</w:t>
      </w:r>
      <w:r>
        <w:rPr>
          <w:rFonts w:ascii="calibri" w:hAnsi="calibri" w:eastAsia="calibri" w:cs="calibri"/>
          <w:sz w:val="24"/>
          <w:szCs w:val="24"/>
        </w:rPr>
        <w:t xml:space="preserve"> </w:t>
      </w:r>
      <w:r>
        <w:rPr>
          <w:rFonts w:ascii="calibri" w:hAnsi="calibri" w:eastAsia="calibri" w:cs="calibri"/>
          <w:sz w:val="24"/>
          <w:szCs w:val="24"/>
        </w:rPr>
        <w:t xml:space="preserve">and place NEODEN4</w:t>
      </w:r>
      <w:r>
        <w:rPr>
          <w:rFonts w:ascii="calibri" w:hAnsi="calibri" w:eastAsia="calibri" w:cs="calibri"/>
          <w:sz w:val="24"/>
          <w:szCs w:val="24"/>
        </w:rPr>
        <w:t xml:space="preserve">C</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automat montażowy przeznaczony do szybkiego i powtarzalnego osadzania komponentów SMD, dedykowany do produkcji małoseryjnej i</w:t>
      </w:r>
      <w:r>
        <w:rPr>
          <w:rFonts w:ascii="calibri" w:hAnsi="calibri" w:eastAsia="calibri" w:cs="calibri"/>
          <w:sz w:val="24"/>
          <w:szCs w:val="24"/>
        </w:rPr>
        <w:t xml:space="preserve"> </w:t>
      </w:r>
      <w:r>
        <w:rPr>
          <w:rFonts w:ascii="calibri" w:hAnsi="calibri" w:eastAsia="calibri" w:cs="calibri"/>
          <w:sz w:val="24"/>
          <w:szCs w:val="24"/>
        </w:rPr>
        <w:t xml:space="preserve">prototypowania</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7px; margin-left:0px; margin-top:0px; mso-position-horizontal:left; mso-position-vertical:top; mso-position-horizontal-relative:char; mso-position-vertical-relative:line;">
            <w10:wrap type="inline"/>
            <v:imagedata r:id="rId9" o:title=""/>
          </v:shape>
        </w:pic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Piec rozpływowy</w:t>
        </w:r>
      </w:hyperlink>
      <w:r>
        <w:rPr>
          <w:rFonts w:ascii="calibri" w:hAnsi="calibri" w:eastAsia="calibri" w:cs="calibri"/>
          <w:sz w:val="24"/>
          <w:szCs w:val="24"/>
        </w:rPr>
        <w:t xml:space="preserve"> </w:t>
      </w:r>
      <w:r>
        <w:rPr>
          <w:rFonts w:ascii="calibri" w:hAnsi="calibri" w:eastAsia="calibri" w:cs="calibri"/>
          <w:sz w:val="24"/>
          <w:szCs w:val="24"/>
        </w:rPr>
        <w:t xml:space="preserve">NEODEN IN6</w:t>
      </w:r>
      <w:r>
        <w:rPr>
          <w:rFonts w:ascii="calibri" w:hAnsi="calibri" w:eastAsia="calibri" w:cs="calibri"/>
          <w:sz w:val="24"/>
          <w:szCs w:val="24"/>
        </w:rPr>
        <w:t xml:space="preserve">C</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urządzenie konwekcyjne z sześcioma strefami grzewczymi i niezależną strefą chłodzenia, przeznaczone do stabilnego lutowania PCB w produkcji prototypowej oraz mało- i średnioseryjnej. Zastosowany transport krawędziowy zapewnia bezpieczne i precyzyjne prowadzenie płytek przez proces lutowania, zwiększając powtarzalność i jakość połączeń</w:t>
      </w:r>
      <w:r>
        <w:rPr>
          <w:rFonts w:ascii="calibri" w:hAnsi="calibri" w:eastAsia="calibri" w:cs="calibri"/>
          <w:sz w:val="24"/>
          <w:szCs w:val="24"/>
        </w:rPr>
        <w:t xml:space="preserve"> </w:t>
      </w:r>
      <w:r>
        <w:rPr>
          <w:rFonts w:ascii="calibri" w:hAnsi="calibri" w:eastAsia="calibri" w:cs="calibri"/>
          <w:sz w:val="24"/>
          <w:szCs w:val="24"/>
        </w:rPr>
        <w:t xml:space="preserve">lutowniczych.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Tak skonfigurowany zestaw umożliwia realizację pełnego procesu montażu elektroniki. Obejmuje on nadruk pasty lutowniczej, montaż komponentów oraz lutowanie rozpływowe, realizowane w jednym, spójnym środowisku technologicznym.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Grupa RENEX</w:t>
      </w:r>
      <w:r>
        <w:rPr>
          <w:rFonts w:ascii="calibri" w:hAnsi="calibri" w:eastAsia="calibri" w:cs="calibri"/>
          <w:sz w:val="24"/>
          <w:szCs w:val="24"/>
        </w:rPr>
        <w:t xml:space="preserve"> </w:t>
      </w:r>
      <w:r>
        <w:rPr>
          <w:rFonts w:ascii="calibri" w:hAnsi="calibri" w:eastAsia="calibri" w:cs="calibri"/>
          <w:sz w:val="24"/>
          <w:szCs w:val="24"/>
        </w:rPr>
        <w:t xml:space="preserve">od ponad trzech dekad dostarcza rozwiązania dla przemysłu elektronicznego, wspierając procesy produkcyjne</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serwisowe oraz rozwój kompetencji technicznych. Działalność Firmy opiera się na praktycznej znajomości technologii montażu elektroniki, długofalowej współpracy z producentami oraz zapewnianiu klientom wsparcia technicznego i doradczego na każdym etapie wdrożenia.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Rozszerzeniem oferty</w:t>
      </w:r>
      <w:r>
        <w:rPr>
          <w:rFonts w:ascii="calibri" w:hAnsi="calibri" w:eastAsia="calibri" w:cs="calibri"/>
          <w:sz w:val="24"/>
          <w:szCs w:val="24"/>
        </w:rPr>
        <w:t xml:space="preserve"> </w:t>
      </w:r>
      <w:r>
        <w:rPr>
          <w:rFonts w:ascii="calibri" w:hAnsi="calibri" w:eastAsia="calibri" w:cs="calibri"/>
          <w:sz w:val="24"/>
          <w:szCs w:val="24"/>
          <w:b/>
        </w:rPr>
        <w:t xml:space="preserve">Grupy RENEX</w:t>
      </w:r>
      <w:r>
        <w:rPr>
          <w:rFonts w:ascii="calibri" w:hAnsi="calibri" w:eastAsia="calibri" w:cs="calibri"/>
          <w:sz w:val="24"/>
          <w:szCs w:val="24"/>
        </w:rPr>
        <w:t xml:space="preserve"> </w:t>
      </w:r>
      <w:r>
        <w:rPr>
          <w:rFonts w:ascii="calibri" w:hAnsi="calibri" w:eastAsia="calibri" w:cs="calibri"/>
          <w:sz w:val="24"/>
          <w:szCs w:val="24"/>
        </w:rPr>
        <w:t xml:space="preserve">jest współpraca z marką</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globalnym producentem rozwiązań SMT</w:t>
      </w:r>
      <w:r>
        <w:rPr>
          <w:rFonts w:ascii="calibri" w:hAnsi="calibri" w:eastAsia="calibri" w:cs="calibri"/>
          <w:sz w:val="24"/>
          <w:szCs w:val="24"/>
        </w:rPr>
        <w:t xml:space="preserve">. Grupa RENEX</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oficjaln</w:t>
      </w:r>
      <w:r>
        <w:rPr>
          <w:rFonts w:ascii="calibri" w:hAnsi="calibri" w:eastAsia="calibri" w:cs="calibri"/>
          <w:sz w:val="24"/>
          <w:szCs w:val="24"/>
        </w:rPr>
        <w:t xml:space="preserve">ym</w:t>
      </w:r>
      <w:r>
        <w:rPr>
          <w:rFonts w:ascii="calibri" w:hAnsi="calibri" w:eastAsia="calibri" w:cs="calibri"/>
          <w:sz w:val="24"/>
          <w:szCs w:val="24"/>
        </w:rPr>
        <w:t xml:space="preserve"> </w:t>
      </w:r>
      <w:r>
        <w:rPr>
          <w:rFonts w:ascii="calibri" w:hAnsi="calibri" w:eastAsia="calibri" w:cs="calibri"/>
          <w:sz w:val="24"/>
          <w:szCs w:val="24"/>
        </w:rPr>
        <w:t xml:space="preserve">dystrybutor</w:t>
      </w:r>
      <w:r>
        <w:rPr>
          <w:rFonts w:ascii="calibri" w:hAnsi="calibri" w:eastAsia="calibri" w:cs="calibri"/>
          <w:sz w:val="24"/>
          <w:szCs w:val="24"/>
        </w:rPr>
        <w:t xml:space="preserve">em</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urządzeń NeoDen</w:t>
        </w:r>
      </w:hyperlink>
      <w:r>
        <w:rPr>
          <w:rFonts w:ascii="calibri" w:hAnsi="calibri" w:eastAsia="calibri" w:cs="calibri"/>
          <w:sz w:val="24"/>
          <w:szCs w:val="24"/>
        </w:rPr>
        <w:t xml:space="preserve"> </w:t>
      </w:r>
      <w:r>
        <w:rPr>
          <w:rFonts w:ascii="calibri" w:hAnsi="calibri" w:eastAsia="calibri" w:cs="calibri"/>
          <w:sz w:val="24"/>
          <w:szCs w:val="24"/>
        </w:rPr>
        <w:t xml:space="preserve">w Polsce oraz na rynkach</w:t>
      </w:r>
      <w:r>
        <w:rPr>
          <w:rFonts w:ascii="calibri" w:hAnsi="calibri" w:eastAsia="calibri" w:cs="calibri"/>
          <w:sz w:val="24"/>
          <w:szCs w:val="24"/>
        </w:rPr>
        <w:t xml:space="preserve"> </w:t>
      </w:r>
      <w:r>
        <w:rPr>
          <w:rFonts w:ascii="calibri" w:hAnsi="calibri" w:eastAsia="calibri" w:cs="calibri"/>
          <w:sz w:val="24"/>
          <w:szCs w:val="24"/>
        </w:rPr>
        <w:t xml:space="preserve">b</w:t>
      </w:r>
      <w:r>
        <w:rPr>
          <w:rFonts w:ascii="calibri" w:hAnsi="calibri" w:eastAsia="calibri" w:cs="calibri"/>
          <w:sz w:val="24"/>
          <w:szCs w:val="24"/>
        </w:rPr>
        <w:t xml:space="preserve">ałkańskich, zapewniając dostęp do oferty producenta, wsparcie</w:t>
      </w:r>
      <w:r>
        <w:rPr>
          <w:rFonts w:ascii="calibri" w:hAnsi="calibri" w:eastAsia="calibri" w:cs="calibri"/>
          <w:sz w:val="24"/>
          <w:szCs w:val="24"/>
        </w:rPr>
        <w:t xml:space="preserve"> </w:t>
      </w:r>
      <w:r>
        <w:rPr>
          <w:rFonts w:ascii="calibri" w:hAnsi="calibri" w:eastAsia="calibri" w:cs="calibri"/>
          <w:sz w:val="24"/>
          <w:szCs w:val="24"/>
        </w:rPr>
        <w:t xml:space="preserve">serwisowe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doradztwo w zakresie konfiguracji linii oraz obsługę posprzedażową.</w:t>
      </w:r>
      <w:r>
        <w:rPr>
          <w:rFonts w:ascii="calibri" w:hAnsi="calibri" w:eastAsia="calibri" w:cs="calibri"/>
          <w:sz w:val="24"/>
          <w:szCs w:val="24"/>
        </w:rPr>
        <w:t xml:space="preserve"> </w:t>
      </w:r>
      <w:r>
        <w:rPr>
          <w:rFonts w:ascii="calibri" w:hAnsi="calibri" w:eastAsia="calibri" w:cs="calibri"/>
          <w:sz w:val="24"/>
          <w:szCs w:val="24"/>
        </w:rPr>
        <w:t xml:space="preserve">Serwis realizowany jest przez własne zaplecze techniczne Grupy RENEX, oparte na doświadczonym zespole inżynierów, co pozwala na szybką reakcję, wysoką jakość obsługi oraz pełne wsparcie użytkowników na każdym etapie eksploatacji urządzeń.</w:t>
      </w:r>
      <w:r>
        <w:rPr>
          <w:rFonts w:ascii="calibri" w:hAnsi="calibri" w:eastAsia="calibri" w:cs="calibri"/>
          <w:sz w:val="24"/>
          <w:szCs w:val="24"/>
        </w:rPr>
        <w:t xml:space="preserve"> </w:t>
      </w:r>
      <w:r>
        <w:rPr>
          <w:rFonts w:ascii="calibri" w:hAnsi="calibri" w:eastAsia="calibri" w:cs="calibri"/>
          <w:sz w:val="24"/>
          <w:szCs w:val="24"/>
        </w:rPr>
        <w:t xml:space="preserve">Włączenie rozwiązań</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w:t>
      </w:r>
      <w:r>
        <w:rPr>
          <w:rFonts w:ascii="calibri" w:hAnsi="calibri" w:eastAsia="calibri" w:cs="calibri"/>
          <w:sz w:val="24"/>
          <w:szCs w:val="24"/>
        </w:rPr>
        <w:t xml:space="preserve">do portfolio Grupy RENEX stanowi uzupełnienie oferty skierowanej do firm poszukujących elastycznych, kompaktowych i sprawdzonych</w:t>
      </w:r>
      <w:r>
        <w:rPr>
          <w:rFonts w:ascii="calibri" w:hAnsi="calibri" w:eastAsia="calibri" w:cs="calibri"/>
          <w:sz w:val="24"/>
          <w:szCs w:val="24"/>
        </w:rPr>
        <w:t xml:space="preserve"> </w:t>
      </w:r>
      <w:r>
        <w:rPr>
          <w:rFonts w:ascii="calibri" w:hAnsi="calibri" w:eastAsia="calibri" w:cs="calibri"/>
          <w:sz w:val="24"/>
          <w:szCs w:val="24"/>
        </w:rPr>
        <w:t xml:space="preserve">urządzeń</w:t>
      </w:r>
      <w:r>
        <w:rPr>
          <w:rFonts w:ascii="calibri" w:hAnsi="calibri" w:eastAsia="calibri" w:cs="calibri"/>
          <w:sz w:val="24"/>
          <w:szCs w:val="24"/>
        </w:rPr>
        <w:t xml:space="preserve"> </w:t>
      </w:r>
      <w:r>
        <w:rPr>
          <w:rFonts w:ascii="calibri" w:hAnsi="calibri" w:eastAsia="calibri" w:cs="calibri"/>
          <w:sz w:val="24"/>
          <w:szCs w:val="24"/>
        </w:rPr>
        <w:t xml:space="preserve">do montażu elektroniki.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drukarki-szablonowe,2,24923" TargetMode="External"/><Relationship Id="rId8" Type="http://schemas.openxmlformats.org/officeDocument/2006/relationships/image" Target="media/section_image1.png"/><Relationship Id="rId9" Type="http://schemas.openxmlformats.org/officeDocument/2006/relationships/image" Target="media/section_image2.jpg"/><Relationship Id="rId10" Type="http://schemas.openxmlformats.org/officeDocument/2006/relationships/hyperlink" Target="https://sklep.renex.pl/produkty/urzadzenia-produkcyjne/piece-lutownicze,2,24920" TargetMode="External"/><Relationship Id="rId11" Type="http://schemas.openxmlformats.org/officeDocument/2006/relationships/image" Target="media/section_image3.jpg"/><Relationship Id="rId12" Type="http://schemas.openxmlformats.org/officeDocument/2006/relationships/image" Target="media/section_image4.png"/><Relationship Id="rId13" Type="http://schemas.openxmlformats.org/officeDocument/2006/relationships/hyperlink" Target="https://sklep.renex.pl/neoden-polska,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2026-05-17T19:03:07+02:00</dcterms:created>
  <dcterms:modified xsi:type="dcterms:W3CDTF">2026-05-17T19:03:07+02:00</dcterms:modified>
</cp:coreProperties>
</file>

<file path=docProps/custom.xml><?xml version="1.0" encoding="utf-8"?>
<Properties xmlns="http://schemas.openxmlformats.org/officeDocument/2006/custom-properties" xmlns:vt="http://schemas.openxmlformats.org/officeDocument/2006/docPropsVTypes"/>
</file>