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Zakończyła się Konferencja „Przyszłość Branży Producentów Elektroniki” – wartość rynku kosmicznego dla polskich firm może sięgnąć 15 mld złotych!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18-19 kwietnia br. Włocławek stał się polskim centrum nowych technologii i innowacji w przemyśle elektronicznym. Organizowana przez firmę RENEX konferencja Przyszłość Branży Producentów Elektroniki zgromadziła ponad 200 uczestników z Polski, Unii Europejskiej i Japonii.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dwa dni eksperci z najważniejszych branżowych polskich i światowych organizacji dyskutowali o perspektywach rynku kosmicznego Unii Europejskiej dla polskich przedsiębiorstw oraz o szansach i wyzwaniach związanych z najnowszymi technologiami i zastosowaniami robotyki przemysłowej.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obszarze Perspektywy Rynku Kosmicznego UE swoje prezentacje przedstawili m.in. Piotr Orleański z Centrum Badań Kosmicznych, Thomas Rohr z Europejskiej Agencji Kosmicznej, Patrycja Frąk z Polskiej Agencji Kosmicznej, Krzysztof Czyż z FP Instruments oraz Borys Lange z firmy WIRAN.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Drugiego dnia Konferencji (Technologie automatyzacji produkcji), wystąpili m.in. Stefan Kamiński, prezes Krajowej Izby Gospodarczej Elektroniki i Telekomunikacji, Jumpei Ninomiya </w:t>
      </w:r>
    </w:p>
    <w:p>
      <w:r>
        <w:rPr>
          <w:rFonts w:ascii="calibri" w:hAnsi="calibri" w:eastAsia="calibri" w:cs="calibri"/>
          <w:sz w:val="24"/>
          <w:szCs w:val="24"/>
        </w:rPr>
        <w:t xml:space="preserve"> (Yamaha Robotics),Piotr Sadowski z SGX i Andreas Ojalill ze Stowarzyszenia IPC.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„Polscy przedsiębiorcy działający w branży elektronicznej, stają przed ogromną szansą na wejście na kolejny poziom rozwoju swoich kompetencji i wykorzystania szansy na rozwój swoich firm w przemyśle kosmicznym. Wartość tego rynku w Polsce szacuje się już na niemal 15 mld złotych.” – podsumował wydarzenie Predrag Topić, prezes zarządu RENEX, organizatora Konferencji.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RENEX, zatrudniająca ponad 150 specjalistów w Polsce i oddziałach w 4 krajach Europy Środkowej (Niemcy, Chorwacja, Serbia i Rumunia), jest wiodącym dostawcą produktów </w:t>
      </w:r>
    </w:p>
    <w:p>
      <w:r>
        <w:rPr>
          <w:rFonts w:ascii="calibri" w:hAnsi="calibri" w:eastAsia="calibri" w:cs="calibri"/>
          <w:sz w:val="24"/>
          <w:szCs w:val="24"/>
        </w:rPr>
        <w:t xml:space="preserve"> i komponentów elektronicznych dla sektora przemysłu w Polsce. Tegoroczna konferencja jest pierwszą edycją programu branżowych konferencji, jakie RENEX planuje organizować corocznie </w:t>
      </w:r>
    </w:p>
    <w:p>
      <w:r>
        <w:rPr>
          <w:rFonts w:ascii="calibri" w:hAnsi="calibri" w:eastAsia="calibri" w:cs="calibri"/>
          <w:sz w:val="24"/>
          <w:szCs w:val="24"/>
        </w:rPr>
        <w:t xml:space="preserve"> w ramach programu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RENEX Electronics Conferences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Fotorelacja z konferencji dostępna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http://www.renex.com.pl/rec/fotorelacje/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Równolegle z Konferencją odbyła się 3. edycja Mistrzostw Polski w Lutowaniu, której strategicznym organizatorem był RENEX. Więcej informacji na: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i/>
            <w:iCs/>
            <w:u w:val="single"/>
          </w:rPr>
          <w:t xml:space="preserve">www.rsc.zone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Fotorelacja z Mistrzostw dostępna na stronie: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http://rsc.zone/zwyciezcy-2018/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na Facebooku: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https://www.facebook.com/pg/RSC.zone/photos/?tab=album&amp;album_id=1710776392350181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Biuro Komunikacji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– firma działająca na polskim rynku od 29 lat, z siedzibą we Włocławku,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jest liderem rozwoju nowych technologii w obszarze produkcji i serwisu urządzeń elektronicznych.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Jako jedyna firma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Polsce zapewnia całościową obsługę w zakresie produkcji i serwisu urządzeń elektronicznych oraz kompleksowe dostawy wyposażenia, urządzeń, maszyn, linii technologicznych i technologii dla przemysłu elektronicznego. Jest także jedynym oficjalnym Centrum Szkoleniowym IPC na obszarze Europy Środkowo-Wschodniej.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Aktualnie RENEX posiada swoje oddziały w 4 krajach Europy Środkowej (oprócz Polski, są to Niemcy, Chorwacja, Rumunia i Serbia). Portfolio RENEX to ponad 15 000 produktów, 2000 m2 zasobów magazynowych i najnowocześniejszy w Europie Środkowej i Wschodniej Demo-room. W ramach prowadzonego Programu Innowacji, RENEX jako pierwsze przedsiębiorstwo w Polsce rozwinął linię produktową zautomatyzowanych robotów lutowniczych, stając się liderem tej kategorii w regionie EŚW.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Więcej informacji na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www.renex.com.pl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90px; height:194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jc w:val="center"/>
      </w:pPr>
      <w:r>
        <w:pict>
          <v:shape type="#_x0000_t75" style="width:290px; height:194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jc w:val="center"/>
      </w:pPr>
      <w:r>
        <w:pict>
          <v:shape type="#_x0000_t75" style="width:290px; height:194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6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7" o:title=""/>
          </v:shape>
        </w:pict>
      </w:r>
    </w:p>
    <w:p>
      <w:pPr>
        <w:jc w:val="center"/>
      </w:pPr>
      <w:r>
        <w:pict>
          <v:shape type="#_x0000_t75" style="width:290px; height:193px; margin-left:0px; margin-top:0px; mso-position-horizontal:left; mso-position-vertical:top; mso-position-horizontal-relative:char; mso-position-vertical-relative:line;">
            <w10:wrap type="inline"/>
            <v:imagedata r:id="rId2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renex.com.pl/rec" TargetMode="External"/><Relationship Id="rId9" Type="http://schemas.openxmlformats.org/officeDocument/2006/relationships/hyperlink" Target="http://www.renex.com.pl/rec/fotorelacje/" TargetMode="External"/><Relationship Id="rId10" Type="http://schemas.openxmlformats.org/officeDocument/2006/relationships/hyperlink" Target="http://www.rsc.zone" TargetMode="External"/><Relationship Id="rId11" Type="http://schemas.openxmlformats.org/officeDocument/2006/relationships/hyperlink" Target="http://rsc.zone/zwyciezcy-2018/" TargetMode="External"/><Relationship Id="rId12" Type="http://schemas.openxmlformats.org/officeDocument/2006/relationships/hyperlink" Target="https://www.facebook.com/pg/RSC.zone/photos/?tab=album&amp;amp;amp;album_id=1710776392350181" TargetMode="External"/><Relationship Id="rId13" Type="http://schemas.openxmlformats.org/officeDocument/2006/relationships/hyperlink" Target="http://www.renex.com.pl" TargetMode="External"/><Relationship Id="rId14" Type="http://schemas.openxmlformats.org/officeDocument/2006/relationships/image" Target="media/section_image2.jpg"/><Relationship Id="rId15" Type="http://schemas.openxmlformats.org/officeDocument/2006/relationships/image" Target="media/section_image3.jpg"/><Relationship Id="rId16" Type="http://schemas.openxmlformats.org/officeDocument/2006/relationships/image" Target="media/section_image4.jpg"/><Relationship Id="rId17" Type="http://schemas.openxmlformats.org/officeDocument/2006/relationships/image" Target="media/section_image5.jpg"/><Relationship Id="rId18" Type="http://schemas.openxmlformats.org/officeDocument/2006/relationships/image" Target="media/section_image6.jpg"/><Relationship Id="rId19" Type="http://schemas.openxmlformats.org/officeDocument/2006/relationships/image" Target="media/section_image7.jpg"/><Relationship Id="rId20" Type="http://schemas.openxmlformats.org/officeDocument/2006/relationships/image" Target="media/section_image8.jpg"/><Relationship Id="rId21" Type="http://schemas.openxmlformats.org/officeDocument/2006/relationships/image" Target="media/section_image9.jpg"/><Relationship Id="rId22" Type="http://schemas.openxmlformats.org/officeDocument/2006/relationships/image" Target="media/section_image10.jpg"/><Relationship Id="rId23" Type="http://schemas.openxmlformats.org/officeDocument/2006/relationships/image" Target="media/section_image11.jpg"/><Relationship Id="rId24" Type="http://schemas.openxmlformats.org/officeDocument/2006/relationships/image" Target="media/section_image12.jpg"/><Relationship Id="rId25" Type="http://schemas.openxmlformats.org/officeDocument/2006/relationships/image" Target="media/section_image13.jpg"/><Relationship Id="rId26" Type="http://schemas.openxmlformats.org/officeDocument/2006/relationships/image" Target="media/section_image14.jpg"/><Relationship Id="rId27" Type="http://schemas.openxmlformats.org/officeDocument/2006/relationships/image" Target="media/section_image15.jpg"/><Relationship Id="rId28" Type="http://schemas.openxmlformats.org/officeDocument/2006/relationships/image" Target="media/section_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